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259" w:before="0" w:after="160"/>
        <w:ind w:left="-567" w:right="0" w:hanging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Ответы на в</w:t>
      </w:r>
      <w:r>
        <w:rPr>
          <w:rFonts w:cs="Times New Roman" w:ascii="Times New Roman" w:hAnsi="Times New Roman"/>
        </w:rPr>
        <w:t>опросы для семинара по правовым аспектам деятельности НКО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Какая деятельность, согласно закону, считается благотворительной и на какие цели она может быть направлена?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-567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</w:rPr>
      </w:pP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</w:rPr>
        <w:tab/>
        <w:t xml:space="preserve">Под благотворительной деятельностью понимается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 ( ч.1 ст. 1 </w:t>
      </w:r>
      <w:r>
        <w:rPr>
          <w:rFonts w:cs="Arial-BoldMT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ФЗ "О благотворительной деятельности   и добровольчестве (волонтерстве)".</w:t>
      </w:r>
      <w:r>
        <w:rPr>
          <w:rFonts w:cs="Arial-BoldMT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32"/>
          <w:szCs w:val="22"/>
        </w:rPr>
        <w:t xml:space="preserve"> 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Цели    благотворительной и добровольческой (волонтерской) деятельности: 26 целей указаны в </w:t>
      </w:r>
      <w:r>
        <w:rPr>
          <w:rFonts w:cs="Arial-BoldMT" w:ascii="Arial" w:hAnsi="Arial"/>
          <w:spacing w:val="0"/>
          <w:sz w:val="22"/>
          <w:szCs w:val="22"/>
        </w:rPr>
        <w:t>п. 1 ст. 2 ФЗ "О благотворительной деятельности                                                                                              и добровольчестве (волонтерстве)".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Для каких НКО благотворительная программа является обязательным внутренним документом и как ее правильно составить?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0"/>
        </w:numPr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ab/>
        <w:t xml:space="preserve">Благотворительная программа обязательно должна быть у благотворительной организации (ст. 17 </w:t>
      </w:r>
      <w:r>
        <w:rPr>
          <w:rFonts w:cs="Arial-BoldMT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ФЗ "О благотворительной деятельности и добровольчестве (волонтерстве)"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. Это второй по значимости документ после устава.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0" w:leader="none"/>
        </w:tabs>
        <w:bidi w:val="0"/>
        <w:spacing w:lineRule="auto" w:line="276" w:before="0" w:after="0"/>
        <w:ind w:left="720" w:right="0" w:hanging="0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olor w:val="000000"/>
          <w:spacing w:val="0"/>
          <w:sz w:val="22"/>
          <w:szCs w:val="22"/>
        </w:rPr>
        <w:t>Бл</w:t>
      </w:r>
      <w:r>
        <w:rPr>
          <w:rFonts w:cs="Arial" w:ascii="Arial" w:hAnsi="Arial"/>
          <w:i w:val="false"/>
          <w:iCs w:val="false"/>
          <w:color w:val="000000"/>
          <w:spacing w:val="0"/>
          <w:sz w:val="22"/>
          <w:szCs w:val="22"/>
        </w:rPr>
        <w:t>аготворительная  программа - комплекс мероприятий, утвержденных высшим органом управления благотворительной организацией и направленных на решение конкретных задач, соответствующих уставным целям этой организации.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olor w:val="000000"/>
          <w:spacing w:val="0"/>
          <w:sz w:val="22"/>
          <w:szCs w:val="22"/>
        </w:rPr>
        <w:tab/>
        <w:t>Положения благотворительной программы</w:t>
      </w:r>
    </w:p>
    <w:p>
      <w:pPr>
        <w:pStyle w:val="Normal"/>
        <w:tabs>
          <w:tab w:val="clear" w:pos="709"/>
          <w:tab w:val="left" w:pos="562" w:leader="none"/>
        </w:tabs>
        <w:bidi w:val="0"/>
        <w:spacing w:lineRule="auto" w:line="276" w:before="0" w:after="0"/>
        <w:ind w:left="562" w:right="0" w:hanging="34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>Обязательные: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дата протокола и наименование высшего органа, утвердившего благотворительной программу;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уставные цели, на достижение которых направлена благотворительная программа;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задача/перечень задач благотворительной программы;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перечень и описание планируемых мероприятий;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этапы и сроки реализации;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1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смета предполагаемых поступлений и планируемых расходов.</w:t>
      </w:r>
    </w:p>
    <w:p>
      <w:pPr>
        <w:pStyle w:val="Normal"/>
        <w:tabs>
          <w:tab w:val="clear" w:pos="709"/>
          <w:tab w:val="left" w:pos="502" w:leader="none"/>
        </w:tabs>
        <w:bidi w:val="0"/>
        <w:spacing w:lineRule="auto" w:line="276" w:before="0" w:after="0"/>
        <w:ind w:left="502" w:right="0" w:hanging="28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>Дополнительные: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критерии отбора подопечных/ благополучателей;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 xml:space="preserve">порядок принятия решения о поддержке благополучателя и основания отказа; 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виды благотворительной помощи;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 xml:space="preserve">источники финансирования и порядок сбора пожертвований; 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планируемые результаты и порядок отчетности;</w:t>
      </w:r>
    </w:p>
    <w:p>
      <w:pPr>
        <w:pStyle w:val="Normal"/>
        <w:tabs>
          <w:tab w:val="clear" w:pos="709"/>
          <w:tab w:val="left" w:pos="775" w:leader="none"/>
        </w:tabs>
        <w:bidi w:val="0"/>
        <w:spacing w:lineRule="auto" w:line="276" w:before="0" w:after="0"/>
        <w:ind w:left="775" w:right="0" w:hanging="272"/>
        <w:jc w:val="both"/>
        <w:rPr/>
      </w:pPr>
      <w:r>
        <w:rPr>
          <w:rFonts w:cs="Arial" w:ascii="Arial" w:hAnsi="Arial"/>
          <w:color w:val="000000"/>
          <w:spacing w:val="0"/>
          <w:sz w:val="22"/>
          <w:szCs w:val="22"/>
        </w:rPr>
        <w:t xml:space="preserve">- </w:t>
      </w:r>
      <w:r>
        <w:rPr>
          <w:rFonts w:cs="Arial" w:ascii="Arial" w:hAnsi="Arial"/>
          <w:color w:val="000000"/>
          <w:sz w:val="22"/>
          <w:szCs w:val="22"/>
        </w:rPr>
        <w:tab/>
      </w:r>
      <w:r>
        <w:rPr>
          <w:rFonts w:cs="Arial" w:ascii="Arial" w:hAnsi="Arial"/>
          <w:color w:val="000000"/>
          <w:spacing w:val="0"/>
          <w:sz w:val="22"/>
          <w:szCs w:val="22"/>
        </w:rPr>
        <w:t>порядок внесения изменений в благотворительную программу;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- </w:t>
        <w:tab/>
        <w:t>образцы документов: заявление об оказании помощи, договор пожертвования, договор с благополучателем.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ab/>
        <w:t>Если НКО не благотворительная, но ведет благотворительную деятельность, рекомендуется принять Положение о порядке оказания благотворительной помощи.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Что такое приносящая доходы деятельность в НКО?</w:t>
      </w:r>
    </w:p>
    <w:p>
      <w:pPr>
        <w:pStyle w:val="Normal"/>
        <w:spacing w:lineRule="auto" w:line="276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cs="Times New Roman" w:ascii="Arial" w:hAnsi="Arial"/>
          <w:i w:val="false"/>
          <w:iCs w:val="false"/>
          <w:color w:val="000000"/>
          <w:spacing w:val="0"/>
          <w:sz w:val="22"/>
          <w:szCs w:val="22"/>
        </w:rPr>
        <w:tab/>
        <w:t>Э</w:t>
      </w:r>
      <w:r>
        <w:rPr>
          <w:rFonts w:ascii="Arial" w:hAnsi="Arial"/>
          <w:i w:val="false"/>
          <w:iCs w:val="false"/>
          <w:color w:val="000000"/>
          <w:spacing w:val="0"/>
          <w:sz w:val="22"/>
          <w:szCs w:val="22"/>
        </w:rPr>
        <w:t xml:space="preserve">то приносящее прибыль производство товаров и услуг, отвечающих целям создания НКО, а также приобретение и реализация ценных бумаг, имущественных и неимущественных прав, участие в хозяйственных обществах и участие в товариществах на вере в качестве вкладчика. НКО может осуществлять такую деятельность лишь постольку, поскольку это служит достижению целей, ради которых она создана и соответствует указанным целям, при условии, что такая деятельность указана в ее учредительных документах (пункт 4 статьи 50 Гражданского кодекса РФ, абз. 1 пункта 2 статьи 24 ФЗ «О некоммерческих организациях»). 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Как правильно организовать работу по приему взносов в НКО?</w:t>
      </w:r>
    </w:p>
    <w:p>
      <w:pPr>
        <w:pStyle w:val="Normal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color w:val="000000"/>
          <w:spacing w:val="0"/>
          <w:sz w:val="22"/>
          <w:szCs w:val="22"/>
        </w:rPr>
        <w:tab/>
        <w:t>О</w:t>
      </w:r>
      <w:r>
        <w:rPr>
          <w:rFonts w:ascii="Arial" w:hAnsi="Arial"/>
          <w:color w:val="000000"/>
          <w:spacing w:val="0"/>
          <w:sz w:val="22"/>
          <w:szCs w:val="22"/>
        </w:rPr>
        <w:t xml:space="preserve">плата (внесение) взносов производится в порядке, предусмотренном решением высшего органа управления НКО либо учредителя (ей) НКО (п.3 ст. 29 ФЗ "О некоммерческих организациях"). </w:t>
      </w:r>
    </w:p>
    <w:p>
      <w:pPr>
        <w:pStyle w:val="Normal"/>
        <w:spacing w:lineRule="auto" w:line="276"/>
        <w:jc w:val="both"/>
        <w:rPr/>
      </w:pPr>
      <w:r>
        <w:rPr>
          <w:rFonts w:ascii="Arial" w:hAnsi="Arial"/>
          <w:color w:val="000000"/>
          <w:spacing w:val="0"/>
          <w:sz w:val="22"/>
          <w:szCs w:val="22"/>
        </w:rPr>
        <w:tab/>
        <w:t>Взносы должны поступать на расчетный счет либо в кассу организации в соответствии с ПБУ и Учетной политикой организации. Возможно оформление через специально разработанные НКО унифицированные формы (квитанции) в бумажном виде. Либо в электронном виде посредством сайта, Q-кода. Взносы учитываются на 86 счете кредита бухгалтерского баланса НКО.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Что такое пожертвование и как грамотно организовать работу по приему пожертвований в НКО?</w:t>
      </w:r>
    </w:p>
    <w:p>
      <w:pPr>
        <w:pStyle w:val="ListParagraph"/>
        <w:ind w:left="72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ab/>
        <w:t>Пожертвованием признается дарение вещи или права в общеполезных целях. Пожертвования могут делаться гражданам, медицинским, образовательным организациям, организациям социального обслуживания и другим аналогичным организациям, благотворительным и научным организациям, фондам, музеям и другим учреждениям культуры, общественным и религиозным организациям, иным некоммерческим организациям в соответствии с законом (п. 1 ст. 582 ГК РФ).</w:t>
      </w:r>
    </w:p>
    <w:p>
      <w:pPr>
        <w:pStyle w:val="ListParagraph"/>
        <w:ind w:left="720" w:hanging="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ab/>
        <w:t>Договор в устной форме может быть заключен посредством действия — передачи наличных денежных средств или вручения вещи. Договор пожертвования в письменной форме может быть заключен разными способами.</w:t>
      </w:r>
      <w:r>
        <w:rPr>
          <w:rFonts w:cs="Times New Roman" w:ascii="Arial" w:hAnsi="Arial"/>
          <w:sz w:val="22"/>
          <w:szCs w:val="22"/>
        </w:rPr>
        <w:br/>
        <w:t xml:space="preserve">- 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путем составления одного документа (в том числе электронного), подписанного сторонами. Это наиболее распространенная и привычная письменная форма договора;</w:t>
      </w:r>
      <w:r>
        <w:rPr>
          <w:rFonts w:cs="Times New Roman" w:ascii="Arial" w:hAnsi="Arial"/>
          <w:sz w:val="22"/>
          <w:szCs w:val="22"/>
        </w:rPr>
        <w:br/>
        <w:t xml:space="preserve">- 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путем обмена письмами, в том числе по электронной почте.</w:t>
      </w:r>
      <w:r>
        <w:rPr>
          <w:rFonts w:cs="Times New Roman" w:ascii="Arial" w:hAnsi="Arial"/>
          <w:sz w:val="22"/>
          <w:szCs w:val="22"/>
        </w:rPr>
        <w:br/>
        <w:t>П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исьменное предложение заключить договор может быть оформлено как оферта, адресованная конкретному лицу или неопределенному кругу лиц. Оферта размещается на сайте, странице в соцсети, канале в мессенджере. Либо иным публичным способом. В этом случае фактическое перечисление (передача) пожертвования считается акцептом, то есть ответом жертвователя о принятии всех условий оферты.</w:t>
      </w:r>
      <w:r>
        <w:rPr>
          <w:rFonts w:cs="Times New Roman" w:ascii="Arial" w:hAnsi="Arial"/>
          <w:sz w:val="22"/>
          <w:szCs w:val="22"/>
        </w:rPr>
        <w:br/>
        <w:tab/>
        <w:t>К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огда жертвователем является юридическое лицо, стоимость пожертвования превышает три тысячи рублей, договор обязательно должен быть заключен в письменной форме — любым из перечисленных выше способов.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Какие преференции дает НКО</w:t>
      </w:r>
      <w:r>
        <w:rPr/>
        <w:t xml:space="preserve"> </w:t>
      </w:r>
      <w:r>
        <w:rPr>
          <w:rFonts w:cs="Times New Roman" w:ascii="Times New Roman" w:hAnsi="Times New Roman"/>
        </w:rPr>
        <w:t>статус Исполнитель общественно полезных услуг?</w:t>
      </w:r>
    </w:p>
    <w:p>
      <w:pPr>
        <w:pStyle w:val="ListParagraph"/>
        <w:ind w:left="720" w:hanging="0"/>
        <w:jc w:val="both"/>
        <w:rPr>
          <w:rFonts w:ascii="Arial" w:hAnsi="Arial"/>
        </w:rPr>
      </w:pPr>
      <w:r>
        <w:rPr>
          <w:rFonts w:cs="Times New Roman" w:ascii="Arial" w:hAnsi="Arial"/>
        </w:rPr>
        <w:tab/>
      </w:r>
    </w:p>
    <w:p>
      <w:pPr>
        <w:pStyle w:val="ListParagraph"/>
        <w:ind w:left="720" w:hanging="0"/>
        <w:jc w:val="both"/>
        <w:rPr>
          <w:rFonts w:ascii="Arial" w:hAnsi="Arial"/>
        </w:rPr>
      </w:pPr>
      <w:r>
        <w:rPr>
          <w:rFonts w:cs="Times New Roman" w:ascii="Arial" w:hAnsi="Arial"/>
        </w:rPr>
        <w:tab/>
        <w:t xml:space="preserve">Приоритетное получение мер господдержки: </w:t>
      </w:r>
      <w:r>
        <w:rPr>
          <w:rFonts w:ascii="Arial" w:hAnsi="Arial"/>
        </w:rPr>
        <w:t xml:space="preserve">финансовой, имущественной, информационной, консультационной, в области подготовки, дополнительного профессионального образования работников и добровольцев (волонтеров) (пп. 1 п. 3 ст. 31.1,  </w:t>
      </w:r>
      <w:r>
        <w:rPr>
          <w:rFonts w:ascii="Arial" w:hAnsi="Arial"/>
          <w:i w:val="false"/>
          <w:iCs w:val="false"/>
          <w:color w:val="000000"/>
          <w:spacing w:val="0"/>
          <w:sz w:val="22"/>
          <w:szCs w:val="22"/>
        </w:rPr>
        <w:t xml:space="preserve">ФЗ «О некоммерческих организациях»). </w:t>
      </w:r>
    </w:p>
    <w:p>
      <w:pPr>
        <w:pStyle w:val="ListParagraph"/>
        <w:ind w:left="720" w:hanging="0"/>
        <w:jc w:val="both"/>
        <w:rPr>
          <w:rFonts w:ascii="Arial" w:hAnsi="Arial"/>
        </w:rPr>
      </w:pPr>
      <w:r>
        <w:rPr>
          <w:rFonts w:ascii="Arial" w:hAnsi="Arial"/>
          <w:i w:val="false"/>
          <w:iCs w:val="false"/>
          <w:color w:val="000000"/>
          <w:spacing w:val="0"/>
          <w:sz w:val="22"/>
          <w:szCs w:val="22"/>
        </w:rPr>
        <w:tab/>
        <w:t xml:space="preserve">Финансовая и имущественная поддержка </w:t>
      </w:r>
      <w:r>
        <w:rPr>
          <w:rFonts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</w:rPr>
        <w:t>предоставляются на срок не менее двух лет ( п.п.5 и 6 ст. 31.1 ФЗ «О некоммерческих организациях»).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каких случаях у НКО должен быть кассовый аппарат и чем грозит его отсутствие?</w:t>
      </w:r>
    </w:p>
    <w:p>
      <w:pPr>
        <w:pStyle w:val="ListParagraph"/>
        <w:numPr>
          <w:ilvl w:val="0"/>
          <w:numId w:val="0"/>
        </w:numPr>
        <w:ind w:left="0" w:hanging="0"/>
        <w:jc w:val="both"/>
        <w:rPr>
          <w:rFonts w:ascii="Arial" w:hAnsi="Arial"/>
          <w:color w:val="000000"/>
        </w:rPr>
      </w:pPr>
      <w:r>
        <w:rPr>
          <w:rFonts w:cs="Times New Roman" w:ascii="Arial" w:hAnsi="Arial"/>
          <w:color w:val="000000"/>
          <w:sz w:val="22"/>
          <w:szCs w:val="22"/>
        </w:rPr>
        <w:tab/>
      </w:r>
    </w:p>
    <w:p>
      <w:pPr>
        <w:pStyle w:val="ListParagraph"/>
        <w:numPr>
          <w:ilvl w:val="0"/>
          <w:numId w:val="0"/>
        </w:numPr>
        <w:ind w:left="0" w:hanging="0"/>
        <w:jc w:val="both"/>
        <w:rPr>
          <w:rFonts w:ascii="Arial" w:hAnsi="Arial"/>
          <w:color w:val="000000"/>
        </w:rPr>
      </w:pPr>
      <w:r>
        <w:rPr>
          <w:rFonts w:cs="Times New Roman" w:ascii="Arial" w:hAnsi="Arial"/>
          <w:color w:val="000000"/>
          <w:sz w:val="22"/>
          <w:szCs w:val="22"/>
        </w:rPr>
        <w:tab/>
        <w:t xml:space="preserve">При приеме наличных денежных средств, кроме случаев торговли газетами и журналами, продовольственными и непродовольственными товарами с нестационарных объектов (с рук , тележек) или на разнос; 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присмотр и уход за детьми, больными, престарелыми и инвалидами;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реализация изготовителем изделий народных художественных промыслов; вспашка огородов и распиловка дров. (п. 2 ст. 2 ФЗ «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</w:rPr>
        <w:t>О применении контрольно-кассовой техники при осуществлении расчетов в Российской Федерации» от 22.05.2003 N 54-ФЗ).</w:t>
      </w:r>
    </w:p>
    <w:p>
      <w:pPr>
        <w:pStyle w:val="ListParagraph"/>
        <w:numPr>
          <w:ilvl w:val="0"/>
          <w:numId w:val="0"/>
        </w:numPr>
        <w:ind w:left="0" w:hanging="0"/>
        <w:jc w:val="both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ab/>
        <w:t xml:space="preserve">Ответственность за отсутствие ККТ наступает по </w:t>
      </w:r>
      <w:r>
        <w:rPr>
          <w:rFonts w:cs="Times New Roman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ч. 2 ст. 14.5 КоАП РФ в виде наложения административного штрафа на должностных лиц в размере от одной четвертой до одной второй размера суммы расчета, осуществленного без применения контрольно-кассовой техники, но не менее десяти тысяч рублей; на юридических лиц - от трех четвертых до одного размера суммы расчета, осуществленного без применения контрольно-кассовой техники, но не менее тридцати тысяч рублей.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каких случаях нужно писать приказ на расходование денежных средств?</w:t>
      </w:r>
    </w:p>
    <w:p>
      <w:pPr>
        <w:pStyle w:val="ListParagraph"/>
        <w:ind w:left="720" w:hanging="0"/>
        <w:rPr>
          <w:rFonts w:ascii="Arial" w:hAnsi="Arial"/>
        </w:rPr>
      </w:pPr>
      <w:r>
        <w:rPr>
          <w:rFonts w:cs="Times New Roman" w:ascii="Arial" w:hAnsi="Arial"/>
        </w:rPr>
        <w:tab/>
      </w:r>
    </w:p>
    <w:p>
      <w:pPr>
        <w:pStyle w:val="ListParagraph"/>
        <w:ind w:left="720" w:hanging="0"/>
        <w:jc w:val="both"/>
        <w:rPr>
          <w:rFonts w:ascii="Arial" w:hAnsi="Arial"/>
        </w:rPr>
      </w:pPr>
      <w:r>
        <w:rPr>
          <w:rFonts w:cs="Times New Roman" w:ascii="Arial" w:hAnsi="Arial"/>
        </w:rPr>
        <w:tab/>
        <w:t xml:space="preserve">Это определяется Учетной политикой НКО. Согласно Указанию Центробанка РФ № 5348-У расходование денежных средств может быть на следующие цели: </w:t>
      </w:r>
    </w:p>
    <w:p>
      <w:pPr>
        <w:pStyle w:val="Style17"/>
        <w:spacing w:before="0" w:after="0"/>
        <w:jc w:val="both"/>
        <w:rPr/>
      </w:pPr>
      <w:r>
        <w:rPr>
          <w:rFonts w:ascii="Arial" w:hAnsi="Arial"/>
        </w:rPr>
        <w:t>- о выплате заработной платы сотрудникам;</w:t>
      </w:r>
    </w:p>
    <w:p>
      <w:pPr>
        <w:pStyle w:val="Style17"/>
        <w:spacing w:before="0" w:after="0"/>
        <w:jc w:val="both"/>
        <w:rPr/>
      </w:pPr>
      <w:r>
        <w:rPr>
          <w:rFonts w:ascii="Arial" w:hAnsi="Arial"/>
        </w:rPr>
        <w:t>- о выделение денежных поощрений или в качестве помощи (премии, отпускные, пособия, благотворительная помощь);</w:t>
      </w:r>
    </w:p>
    <w:p>
      <w:pPr>
        <w:pStyle w:val="Style17"/>
        <w:spacing w:before="0" w:after="0"/>
        <w:jc w:val="both"/>
        <w:rPr/>
      </w:pPr>
      <w:r>
        <w:rPr>
          <w:rFonts w:ascii="Arial" w:hAnsi="Arial"/>
        </w:rPr>
        <w:t>- на командировочные или подотчетные суммы;</w:t>
      </w:r>
    </w:p>
    <w:p>
      <w:pPr>
        <w:pStyle w:val="Style17"/>
        <w:jc w:val="both"/>
        <w:rPr/>
      </w:pPr>
      <w:r>
        <w:rPr>
          <w:rFonts w:ascii="Arial" w:hAnsi="Arial"/>
        </w:rPr>
        <w:t>- об оплате услуг / товаров на сумму, свыше установленной в Учетной политике.</w:t>
      </w:r>
    </w:p>
    <w:p>
      <w:pPr>
        <w:pStyle w:val="Style17"/>
        <w:jc w:val="both"/>
        <w:rPr/>
      </w:pPr>
      <w:r>
        <w:rPr>
          <w:rFonts w:ascii="Arial" w:hAnsi="Arial"/>
        </w:rPr>
        <w:tab/>
        <w:t xml:space="preserve">Соответственно, </w:t>
      </w:r>
      <w:r>
        <w:rPr>
          <w:rFonts w:cs="Times New Roman" w:ascii="Arial" w:hAnsi="Arial"/>
        </w:rPr>
        <w:t xml:space="preserve">приказы/распоряжения могут быть оформлены в выше указанных случаях. </w:t>
      </w:r>
      <w:r>
        <w:rPr>
          <w:rFonts w:ascii="Arial" w:hAnsi="Arial"/>
        </w:rPr>
        <w:t>Также решение должно соответствовать требованиям субсидии/гранта.</w:t>
      </w:r>
    </w:p>
    <w:p>
      <w:pPr>
        <w:pStyle w:val="Style17"/>
        <w:rPr>
          <w:rFonts w:ascii="Arial" w:hAnsi="Arial"/>
        </w:rPr>
      </w:pPr>
      <w:r>
        <w:rPr>
          <w:rFonts w:ascii="Arial" w:hAnsi="Arial"/>
        </w:rPr>
        <w:tab/>
        <w:t>9</w:t>
      </w: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sz w:val="23"/>
        </w:rPr>
        <w:t>. В каких случаях НКО могут работать без печати?</w:t>
      </w:r>
    </w:p>
    <w:p>
      <w:pPr>
        <w:pStyle w:val="Style17"/>
        <w:jc w:val="both"/>
        <w:rPr>
          <w:rFonts w:ascii="Arial" w:hAnsi="Arial"/>
        </w:rPr>
      </w:pPr>
      <w:r>
        <w:rPr>
          <w:rFonts w:ascii="Arial" w:hAnsi="Arial"/>
          <w:b w:val="false"/>
          <w:i w:val="false"/>
          <w:caps w:val="false"/>
          <w:smallCaps w:val="false"/>
          <w:color w:val="1A1A1A"/>
          <w:spacing w:val="0"/>
          <w:sz w:val="23"/>
        </w:rPr>
        <w:tab/>
      </w:r>
      <w:r>
        <w:rPr>
          <w:rFonts w:ascii="Arial" w:hAnsi="Arial"/>
          <w:b w:val="false"/>
          <w:i w:val="false"/>
          <w:caps w:val="false"/>
          <w:smallCaps w:val="false"/>
          <w:color w:val="1A1A1A"/>
          <w:spacing w:val="0"/>
          <w:sz w:val="22"/>
          <w:szCs w:val="22"/>
        </w:rPr>
        <w:t xml:space="preserve">НКО может с 01 июня 2024 года отказаться от печати, если в ее уставе будет указано, что она действует без печати либо такое указание есть в ФЗ (п. 4 ст. 3 </w:t>
      </w:r>
      <w:r>
        <w:rPr>
          <w:rFonts w:ascii="Arial" w:hAnsi="Arial"/>
          <w:b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</w:rPr>
        <w:t>ФЗ «О некоммерческих организациях»).</w:t>
      </w:r>
    </w:p>
    <w:p>
      <w:pPr>
        <w:pStyle w:val="Style17"/>
        <w:rPr>
          <w:rFonts w:ascii="Arial" w:hAnsi="Arial"/>
        </w:rPr>
      </w:pPr>
      <w:r>
        <w:rPr>
          <w:rFonts w:ascii="Arial" w:hAnsi="Arial"/>
          <w:b w:val="false"/>
          <w:i w:val="false"/>
          <w:caps w:val="false"/>
          <w:smallCaps w:val="false"/>
          <w:color w:val="1A1A1A"/>
          <w:spacing w:val="0"/>
          <w:sz w:val="23"/>
        </w:rPr>
        <w:tab/>
        <w:t>10</w:t>
      </w:r>
      <w:r>
        <w:rPr>
          <w:rFonts w:ascii="YS Text;Arial;sans-serif" w:hAnsi="YS Text;Arial;sans-serif"/>
          <w:b w:val="false"/>
          <w:i w:val="false"/>
          <w:caps w:val="false"/>
          <w:smallCaps w:val="false"/>
          <w:color w:val="1A1A1A"/>
          <w:spacing w:val="0"/>
          <w:sz w:val="23"/>
        </w:rPr>
        <w:t>.Отчетность в Минюст, какие произошли изменения и на что стоит обратить внимание.</w:t>
      </w:r>
    </w:p>
    <w:p>
      <w:pPr>
        <w:pStyle w:val="Style17"/>
        <w:jc w:val="both"/>
        <w:rPr/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2"/>
          <w:szCs w:val="22"/>
          <w:u w:val="none"/>
          <w:effect w:val="none"/>
        </w:rPr>
        <w:tab/>
        <w:t xml:space="preserve">В соответствии с проектом ФЗ </w:t>
      </w:r>
      <w:hyperlink r:id="rId2">
        <w:r>
          <w:rPr>
            <w:rFonts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4B69BF"/>
            <w:spacing w:val="0"/>
            <w:sz w:val="22"/>
            <w:szCs w:val="22"/>
            <w:u w:val="none"/>
            <w:effect w:val="none"/>
          </w:rPr>
          <w:t>«О внесении изменений в отдельные законодательные акты Российской Федерации»</w:t>
        </w:r>
      </w:hyperlink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4B69BF"/>
          <w:spacing w:val="0"/>
          <w:sz w:val="22"/>
          <w:szCs w:val="22"/>
          <w:u w:val="none"/>
          <w:effect w:val="none"/>
        </w:rPr>
        <w:t xml:space="preserve">, 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  <w:effect w:val="none"/>
        </w:rPr>
        <w:t>подготовленном Минюстом РФ,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 xml:space="preserve"> предлагается </w:t>
      </w: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установить исключительно электронный способ подачи отчетности НКО.</w:t>
      </w:r>
    </w:p>
    <w:p>
      <w:pPr>
        <w:pStyle w:val="Style17"/>
        <w:jc w:val="both"/>
        <w:rPr/>
      </w:pP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О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 xml:space="preserve">тчетность будет размещаться </w:t>
      </w: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 xml:space="preserve">на официальном сайте Минюста. 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С 2024 года планируется </w:t>
      </w: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предоставить некоммерческим организациям доступ в личные кабинеты через профиль на Госуслугах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 xml:space="preserve">. </w:t>
      </w:r>
    </w:p>
    <w:p>
      <w:pPr>
        <w:pStyle w:val="Style17"/>
        <w:spacing w:lineRule="atLeast" w:line="356" w:before="0" w:after="243"/>
        <w:ind w:left="0" w:right="0" w:hanging="0"/>
        <w:jc w:val="both"/>
        <w:rPr/>
      </w:pP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Планируется, что изменения нач</w:t>
      </w: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н</w:t>
      </w:r>
      <w:r>
        <w:rPr>
          <w:rStyle w:val="Style15"/>
          <w:rFonts w:ascii="Arial" w:hAnsi="Arial"/>
          <w:b w:val="false"/>
          <w:bCs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ут действовать с 1 сентября 2024 г..</w:t>
      </w:r>
    </w:p>
    <w:p>
      <w:pPr>
        <w:pStyle w:val="Style17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Style1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istParagraph"/>
        <w:spacing w:before="0" w:after="160"/>
        <w:contextualSpacing/>
        <w:rPr>
          <w:rFonts w:ascii="Arial" w:hAnsi="Arial"/>
          <w:sz w:val="22"/>
          <w:szCs w:val="22"/>
        </w:rPr>
      </w:pPr>
      <w:r>
        <w:rPr/>
      </w:r>
    </w:p>
    <w:sectPr>
      <w:type w:val="nextPage"/>
      <w:pgSz w:w="11906" w:h="16838"/>
      <w:pgMar w:left="1179" w:right="84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Unicode MS">
    <w:charset w:val="cc"/>
    <w:family w:val="roman"/>
    <w:pitch w:val="variable"/>
  </w:font>
  <w:font w:name="Noto Sans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YS Text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Style16"/>
    <w:next w:val="Style17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Tahoma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Маркеры"/>
    <w:qFormat/>
    <w:rPr>
      <w:rFonts w:ascii="OpenSymbol" w:hAnsi="OpenSymbol" w:eastAsia="OpenSymbol" w:cs="OpenSymbol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rsid w:val="007b51a5"/>
    <w:pPr>
      <w:spacing w:before="0" w:after="160"/>
      <w:ind w:left="720" w:hanging="0"/>
      <w:contextualSpacing/>
    </w:pPr>
    <w:rPr/>
  </w:style>
  <w:style w:type="paragraph" w:styleId="Style21">
    <w:name w:val="Объект без заливки"/>
    <w:basedOn w:val="Normal"/>
    <w:qFormat/>
    <w:pPr>
      <w:spacing w:lineRule="atLeast" w:line="200" w:before="0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2">
    <w:name w:val="Объект без заливки и линий"/>
    <w:basedOn w:val="Normal"/>
    <w:qFormat/>
    <w:pPr>
      <w:spacing w:lineRule="atLeast" w:line="200" w:before="0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23"/>
    <w:qFormat/>
    <w:pPr/>
    <w:rPr>
      <w:rFonts w:ascii="Noto Sans" w:hAnsi="Noto Sans"/>
      <w:sz w:val="36"/>
    </w:rPr>
  </w:style>
  <w:style w:type="paragraph" w:styleId="Style23">
    <w:name w:val="Текст"/>
    <w:basedOn w:val="Style19"/>
    <w:qFormat/>
    <w:pPr/>
    <w:rPr/>
  </w:style>
  <w:style w:type="paragraph" w:styleId="4">
    <w:name w:val="Заглавие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23"/>
    <w:qFormat/>
    <w:pPr/>
    <w:rPr>
      <w:rFonts w:ascii="Noto Sans" w:hAnsi="Noto Sans"/>
      <w:sz w:val="95"/>
    </w:rPr>
  </w:style>
  <w:style w:type="paragraph" w:styleId="0">
    <w:name w:val="Заглавие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02">
    <w:name w:val="Текст А0"/>
    <w:basedOn w:val="A0"/>
    <w:qFormat/>
    <w:pPr/>
    <w:rPr>
      <w:rFonts w:ascii="Noto Sans" w:hAnsi="Noto Sans"/>
      <w:sz w:val="95"/>
    </w:rPr>
  </w:style>
  <w:style w:type="paragraph" w:styleId="Style24">
    <w:name w:val="Графика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ans" w:hAnsi="Liberation Sans" w:eastAsia="Tahoma" w:cs="Liberation Sans"/>
      <w:color w:val="auto"/>
      <w:kern w:val="2"/>
      <w:sz w:val="36"/>
      <w:szCs w:val="24"/>
      <w:lang w:val="ru-RU" w:eastAsia="en-US" w:bidi="ar-SA"/>
      <w14:ligatures w14:val="standardContextual"/>
    </w:rPr>
  </w:style>
  <w:style w:type="paragraph" w:styleId="Style25">
    <w:name w:val="Фигуры"/>
    <w:basedOn w:val="Style24"/>
    <w:qFormat/>
    <w:pPr/>
    <w:rPr>
      <w:rFonts w:ascii="Liberation Sans" w:hAnsi="Liberation Sans"/>
      <w:b/>
      <w:sz w:val="28"/>
    </w:rPr>
  </w:style>
  <w:style w:type="paragraph" w:styleId="Style26">
    <w:name w:val="Заливка"/>
    <w:basedOn w:val="Style25"/>
    <w:qFormat/>
    <w:pPr/>
    <w:rPr>
      <w:rFonts w:ascii="Liberation Sans" w:hAnsi="Liberation Sans"/>
      <w:b/>
      <w:sz w:val="28"/>
    </w:rPr>
  </w:style>
  <w:style w:type="paragraph" w:styleId="Style27">
    <w:name w:val="Заливка синим"/>
    <w:basedOn w:val="Style26"/>
    <w:qFormat/>
    <w:pPr/>
    <w:rPr>
      <w:rFonts w:ascii="Liberation Sans" w:hAnsi="Liberation Sans"/>
      <w:b/>
      <w:color w:val="FFFFFF"/>
      <w:sz w:val="28"/>
    </w:rPr>
  </w:style>
  <w:style w:type="paragraph" w:styleId="Style28">
    <w:name w:val="Заливка зелёным"/>
    <w:basedOn w:val="Style26"/>
    <w:qFormat/>
    <w:pPr/>
    <w:rPr>
      <w:rFonts w:ascii="Liberation Sans" w:hAnsi="Liberation Sans"/>
      <w:b/>
      <w:color w:val="FFFFFF"/>
      <w:sz w:val="28"/>
    </w:rPr>
  </w:style>
  <w:style w:type="paragraph" w:styleId="Style29">
    <w:name w:val="Заливка красным"/>
    <w:basedOn w:val="Style26"/>
    <w:qFormat/>
    <w:pPr/>
    <w:rPr>
      <w:rFonts w:ascii="Liberation Sans" w:hAnsi="Liberation Sans"/>
      <w:b/>
      <w:color w:val="FFFFFF"/>
      <w:sz w:val="28"/>
    </w:rPr>
  </w:style>
  <w:style w:type="paragraph" w:styleId="Style30">
    <w:name w:val="Заливка жёлтым"/>
    <w:basedOn w:val="Style26"/>
    <w:qFormat/>
    <w:pPr/>
    <w:rPr>
      <w:rFonts w:ascii="Liberation Sans" w:hAnsi="Liberation Sans"/>
      <w:b/>
      <w:color w:val="FFFFFF"/>
      <w:sz w:val="28"/>
    </w:rPr>
  </w:style>
  <w:style w:type="paragraph" w:styleId="Style31">
    <w:name w:val="Контур"/>
    <w:basedOn w:val="Style25"/>
    <w:qFormat/>
    <w:pPr/>
    <w:rPr>
      <w:rFonts w:ascii="Liberation Sans" w:hAnsi="Liberation Sans"/>
      <w:b/>
      <w:sz w:val="28"/>
    </w:rPr>
  </w:style>
  <w:style w:type="paragraph" w:styleId="Style32">
    <w:name w:val="Контур синий"/>
    <w:basedOn w:val="Style31"/>
    <w:qFormat/>
    <w:pPr/>
    <w:rPr>
      <w:rFonts w:ascii="Liberation Sans" w:hAnsi="Liberation Sans"/>
      <w:b/>
      <w:color w:val="355269"/>
      <w:sz w:val="28"/>
    </w:rPr>
  </w:style>
  <w:style w:type="paragraph" w:styleId="Style33">
    <w:name w:val="Контур зеленый"/>
    <w:basedOn w:val="Style31"/>
    <w:qFormat/>
    <w:pPr/>
    <w:rPr>
      <w:rFonts w:ascii="Liberation Sans" w:hAnsi="Liberation Sans"/>
      <w:b/>
      <w:color w:val="127622"/>
      <w:sz w:val="28"/>
    </w:rPr>
  </w:style>
  <w:style w:type="paragraph" w:styleId="Style34">
    <w:name w:val="Контур красный"/>
    <w:basedOn w:val="Style31"/>
    <w:qFormat/>
    <w:pPr/>
    <w:rPr>
      <w:rFonts w:ascii="Liberation Sans" w:hAnsi="Liberation Sans"/>
      <w:b/>
      <w:color w:val="C9211E"/>
      <w:sz w:val="28"/>
    </w:rPr>
  </w:style>
  <w:style w:type="paragraph" w:styleId="Style35">
    <w:name w:val="Контур жёлтый"/>
    <w:basedOn w:val="Style31"/>
    <w:qFormat/>
    <w:pPr/>
    <w:rPr>
      <w:rFonts w:ascii="Liberation Sans" w:hAnsi="Liberation Sans"/>
      <w:b/>
      <w:color w:val="B47804"/>
      <w:sz w:val="28"/>
    </w:rPr>
  </w:style>
  <w:style w:type="paragraph" w:styleId="Style36">
    <w:name w:val="Линии"/>
    <w:basedOn w:val="Style24"/>
    <w:qFormat/>
    <w:pPr/>
    <w:rPr>
      <w:rFonts w:ascii="Liberation Sans" w:hAnsi="Liberation Sans"/>
      <w:sz w:val="36"/>
    </w:rPr>
  </w:style>
  <w:style w:type="paragraph" w:styleId="Style37">
    <w:name w:val="Стрелки"/>
    <w:basedOn w:val="Style36"/>
    <w:qFormat/>
    <w:pPr/>
    <w:rPr>
      <w:rFonts w:ascii="Liberation Sans" w:hAnsi="Liberation Sans"/>
      <w:sz w:val="36"/>
    </w:rPr>
  </w:style>
  <w:style w:type="paragraph" w:styleId="Style38">
    <w:name w:val="Штриховая линия"/>
    <w:basedOn w:val="Style36"/>
    <w:qFormat/>
    <w:pPr/>
    <w:rPr>
      <w:rFonts w:ascii="Liberation Sans" w:hAnsi="Liberation Sans"/>
      <w:sz w:val="36"/>
    </w:rPr>
  </w:style>
  <w:style w:type="paragraph" w:styleId="BlankSlideLTGliederung1">
    <w:name w:val="Blank Slide~LT~Gliederung 1"/>
    <w:qFormat/>
    <w:pPr>
      <w:widowControl/>
      <w:suppressAutoHyphens w:val="true"/>
      <w:bidi w:val="0"/>
      <w:spacing w:lineRule="auto" w:line="259" w:before="283" w:after="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en-US" w:bidi="ar-SA"/>
    </w:rPr>
  </w:style>
  <w:style w:type="paragraph" w:styleId="BlankSlideLTGliederung2">
    <w:name w:val="Blank Slide~LT~Gliederung 2"/>
    <w:basedOn w:val="BlankSlideLTGliederung1"/>
    <w:qFormat/>
    <w:pPr>
      <w:spacing w:before="22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BlankSlideLTGliederung3">
    <w:name w:val="Blank Slide~LT~Gliederung 3"/>
    <w:basedOn w:val="BlankSlideLTGliederung2"/>
    <w:qFormat/>
    <w:pPr>
      <w:spacing w:before="170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BlankSlideLTGliederung4">
    <w:name w:val="Blank Slide~LT~Gliederung 4"/>
    <w:basedOn w:val="BlankSlideLTGliederung3"/>
    <w:qFormat/>
    <w:pPr>
      <w:spacing w:before="113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5">
    <w:name w:val="Blank Slide~LT~Gliederung 5"/>
    <w:basedOn w:val="BlankSlideLTGliederung4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6">
    <w:name w:val="Blank Slide~LT~Gliederung 6"/>
    <w:basedOn w:val="BlankSlideLTGliederung5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7">
    <w:name w:val="Blank Slide~LT~Gliederung 7"/>
    <w:basedOn w:val="BlankSlideLTGliederung6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8">
    <w:name w:val="Blank Slide~LT~Gliederung 8"/>
    <w:basedOn w:val="BlankSlideLTGliederung7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9">
    <w:name w:val="Blank Slide~LT~Gliederung 9"/>
    <w:basedOn w:val="BlankSlideLTGliederung8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Titel">
    <w:name w:val="Blank Slide~LT~Titel"/>
    <w:qFormat/>
    <w:pPr>
      <w:widowControl/>
      <w:suppressAutoHyphens w:val="true"/>
      <w:bidi w:val="0"/>
      <w:spacing w:lineRule="auto" w:line="259" w:before="0" w:after="160"/>
      <w:jc w:val="center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en-US" w:bidi="ar-SA"/>
    </w:rPr>
  </w:style>
  <w:style w:type="paragraph" w:styleId="BlankSlideLTUntertitel">
    <w:name w:val="Blank Slide~LT~Untertitel"/>
    <w:qFormat/>
    <w:pPr>
      <w:widowControl/>
      <w:suppressAutoHyphens w:val="true"/>
      <w:bidi w:val="0"/>
      <w:spacing w:lineRule="auto" w:line="259" w:before="0" w:after="160"/>
      <w:jc w:val="center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en-US" w:bidi="ar-SA"/>
    </w:rPr>
  </w:style>
  <w:style w:type="paragraph" w:styleId="BlankSlideLTNotizen">
    <w:name w:val="Blank Slide~LT~Notizen"/>
    <w:qFormat/>
    <w:pPr>
      <w:widowControl/>
      <w:suppressAutoHyphens w:val="true"/>
      <w:bidi w:val="0"/>
      <w:spacing w:lineRule="auto" w:line="259" w:before="0" w:after="160"/>
      <w:ind w:left="340" w:hanging="34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BlankSlideLTHintergrundobjekte">
    <w:name w:val="Blank Slide~LT~Hintergrundobjekte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paragraph" w:styleId="BlankSlideLTHintergrund">
    <w:name w:val="Blank Slide~LT~Hintergrund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paragraph" w:styleId="Default">
    <w:name w:val="default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Arial Unicode MS" w:hAnsi="Arial Unicode MS" w:eastAsia="Tahoma" w:cs="Liberation Sans"/>
      <w:color w:val="auto"/>
      <w:kern w:val="2"/>
      <w:sz w:val="36"/>
      <w:szCs w:val="24"/>
      <w:lang w:val="ru-RU" w:eastAsia="en-US" w:bidi="ar-SA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Arial Unicode MS" w:hAnsi="Arial Unicode MS"/>
      <w:color w:val="auto"/>
      <w:kern w:val="2"/>
      <w:sz w:val="36"/>
    </w:rPr>
  </w:style>
  <w:style w:type="paragraph" w:styleId="Style39">
    <w:name w:val="Объекты фона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paragraph" w:styleId="Style40">
    <w:name w:val="Фон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paragraph" w:styleId="Style41">
    <w:name w:val="Примечания"/>
    <w:qFormat/>
    <w:pPr>
      <w:widowControl/>
      <w:suppressAutoHyphens w:val="true"/>
      <w:bidi w:val="0"/>
      <w:spacing w:lineRule="auto" w:line="259" w:before="0" w:after="160"/>
      <w:ind w:left="340" w:hanging="34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11">
    <w:name w:val="Структура 1"/>
    <w:qFormat/>
    <w:pPr>
      <w:widowControl/>
      <w:suppressAutoHyphens w:val="true"/>
      <w:bidi w:val="0"/>
      <w:spacing w:lineRule="auto" w:line="259" w:before="283" w:after="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en-US" w:bidi="ar-SA"/>
    </w:rPr>
  </w:style>
  <w:style w:type="paragraph" w:styleId="2">
    <w:name w:val="Структура 2"/>
    <w:basedOn w:val="11"/>
    <w:qFormat/>
    <w:pPr>
      <w:spacing w:before="22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3">
    <w:name w:val="Структура 3"/>
    <w:basedOn w:val="2"/>
    <w:qFormat/>
    <w:pPr>
      <w:spacing w:before="170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43">
    <w:name w:val="Структура 4"/>
    <w:basedOn w:val="3"/>
    <w:qFormat/>
    <w:pPr>
      <w:spacing w:before="113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5">
    <w:name w:val="Структура 5"/>
    <w:basedOn w:val="43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1">
    <w:name w:val="Title, Content~LT~Gliederung 1"/>
    <w:qFormat/>
    <w:pPr>
      <w:widowControl/>
      <w:suppressAutoHyphens w:val="true"/>
      <w:bidi w:val="0"/>
      <w:spacing w:lineRule="auto" w:line="259" w:before="283" w:after="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en-US" w:bidi="ar-SA"/>
    </w:rPr>
  </w:style>
  <w:style w:type="paragraph" w:styleId="TitleContentLTGliederung2">
    <w:name w:val="Title, Content~LT~Gliederung 2"/>
    <w:basedOn w:val="TitleContentLTGliederung1"/>
    <w:qFormat/>
    <w:pPr>
      <w:spacing w:before="22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TitleContentLTGliederung3">
    <w:name w:val="Title, Content~LT~Gliederung 3"/>
    <w:basedOn w:val="TitleContentLTGliederung2"/>
    <w:qFormat/>
    <w:pPr>
      <w:spacing w:before="170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TitleContentLTGliederung4">
    <w:name w:val="Title, Content~LT~Gliederung 4"/>
    <w:basedOn w:val="TitleContentLTGliederung3"/>
    <w:qFormat/>
    <w:pPr>
      <w:spacing w:before="113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5">
    <w:name w:val="Title, Content~LT~Gliederung 5"/>
    <w:basedOn w:val="TitleContentLTGliederung4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6">
    <w:name w:val="Title, Content~LT~Gliederung 6"/>
    <w:basedOn w:val="TitleContentLTGliederung5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7">
    <w:name w:val="Title, Content~LT~Gliederung 7"/>
    <w:basedOn w:val="TitleContentLTGliederung6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8">
    <w:name w:val="Title, Content~LT~Gliederung 8"/>
    <w:basedOn w:val="TitleContentLTGliederung7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9">
    <w:name w:val="Title, Content~LT~Gliederung 9"/>
    <w:basedOn w:val="TitleContentLTGliederung8"/>
    <w:qFormat/>
    <w:pPr>
      <w:spacing w:before="57" w:after="0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Titel">
    <w:name w:val="Title, Content~LT~Titel"/>
    <w:qFormat/>
    <w:pPr>
      <w:widowControl/>
      <w:suppressAutoHyphens w:val="true"/>
      <w:bidi w:val="0"/>
      <w:spacing w:lineRule="auto" w:line="259" w:before="0" w:after="160"/>
      <w:jc w:val="center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en-US" w:bidi="ar-SA"/>
    </w:rPr>
  </w:style>
  <w:style w:type="paragraph" w:styleId="TitleContentLTUntertitel">
    <w:name w:val="Title, Content~LT~Untertitel"/>
    <w:qFormat/>
    <w:pPr>
      <w:widowControl/>
      <w:suppressAutoHyphens w:val="true"/>
      <w:bidi w:val="0"/>
      <w:spacing w:lineRule="auto" w:line="259" w:before="0" w:after="160"/>
      <w:jc w:val="center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en-US" w:bidi="ar-SA"/>
    </w:rPr>
  </w:style>
  <w:style w:type="paragraph" w:styleId="TitleContentLTNotizen">
    <w:name w:val="Title, Content~LT~Notizen"/>
    <w:qFormat/>
    <w:pPr>
      <w:widowControl/>
      <w:suppressAutoHyphens w:val="true"/>
      <w:bidi w:val="0"/>
      <w:spacing w:lineRule="auto" w:line="259" w:before="0" w:after="160"/>
      <w:ind w:left="340" w:hanging="34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en-US" w:bidi="ar-SA"/>
    </w:rPr>
  </w:style>
  <w:style w:type="paragraph" w:styleId="TitleContentLTHintergrundobjekte">
    <w:name w:val="Title, Content~LT~Hintergrundobjekte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paragraph" w:styleId="TitleContentLTHintergrund">
    <w:name w:val="Title, Content~LT~Hintergrund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en-US" w:bidi="ar-SA"/>
      <w14:ligatures w14:val="standardContextu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egulation.gov.ru/p/14329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Application>LibreOffice/7.1.4.2$Windows_X86_64 LibreOffice_project/a529a4fab45b75fefc5b6226684193eb000654f6</Application>
  <AppVersion>15.0000</AppVersion>
  <DocSecurity>0</DocSecurity>
  <Pages>3</Pages>
  <Words>1028</Words>
  <Characters>6968</Characters>
  <CharactersWithSpaces>8087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2024-05-08T04:54:00Z</dcterms:created>
  <dc:creator>Людмила Беличева</dc:creator>
  <dc:description/>
  <dc:language>ru-RU</dc:language>
  <cp:lastModifiedBy/>
  <dcterms:modified xsi:type="dcterms:W3CDTF">2024-05-28T10:21:43Z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